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ind w:firstLine="720"/>
        <w:rPr>
          <w:color w:val="0E101A"/>
        </w:rPr>
      </w:pPr>
    </w:p>
    <w:p w:rsidR="003D2BE3" w:rsidRDefault="003D2BE3" w:rsidP="003D2BE3">
      <w:pPr>
        <w:pStyle w:val="NormalWeb"/>
        <w:spacing w:before="0" w:beforeAutospacing="0" w:after="0" w:afterAutospacing="0" w:line="480" w:lineRule="auto"/>
        <w:ind w:firstLine="720"/>
        <w:rPr>
          <w:color w:val="0E101A"/>
        </w:rPr>
      </w:pPr>
    </w:p>
    <w:p w:rsidR="003D2BE3" w:rsidRDefault="003D2BE3" w:rsidP="003D2BE3">
      <w:pPr>
        <w:pStyle w:val="NormalWeb"/>
        <w:spacing w:before="0" w:beforeAutospacing="0" w:after="0" w:afterAutospacing="0" w:line="480" w:lineRule="auto"/>
        <w:ind w:firstLine="720"/>
        <w:rPr>
          <w:color w:val="0E101A"/>
        </w:rPr>
      </w:pPr>
    </w:p>
    <w:p w:rsid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jc w:val="center"/>
        <w:rPr>
          <w:color w:val="0E101A"/>
        </w:rPr>
      </w:pPr>
      <w:r w:rsidRPr="003D2BE3">
        <w:rPr>
          <w:color w:val="0E101A"/>
        </w:rPr>
        <w:t>Community Strategic Plan Part B; Strategic Plan</w:t>
      </w:r>
    </w:p>
    <w:p w:rsidR="003D2BE3" w:rsidRPr="003D2BE3" w:rsidRDefault="003D2BE3" w:rsidP="003D2BE3">
      <w:pPr>
        <w:pStyle w:val="NormalWeb"/>
        <w:spacing w:before="0" w:beforeAutospacing="0" w:after="0" w:afterAutospacing="0" w:line="480" w:lineRule="auto"/>
        <w:jc w:val="center"/>
        <w:rPr>
          <w:color w:val="0E101A"/>
        </w:rPr>
      </w:pPr>
      <w:r w:rsidRPr="003D2BE3">
        <w:rPr>
          <w:color w:val="0E101A"/>
        </w:rPr>
        <w:t>Name</w:t>
      </w:r>
    </w:p>
    <w:p w:rsidR="003D2BE3" w:rsidRPr="003D2BE3" w:rsidRDefault="003D2BE3" w:rsidP="003D2BE3">
      <w:pPr>
        <w:pStyle w:val="NormalWeb"/>
        <w:spacing w:before="0" w:beforeAutospacing="0" w:after="0" w:afterAutospacing="0" w:line="480" w:lineRule="auto"/>
        <w:jc w:val="center"/>
        <w:rPr>
          <w:color w:val="0E101A"/>
        </w:rPr>
      </w:pPr>
      <w:r w:rsidRPr="003D2BE3">
        <w:rPr>
          <w:color w:val="0E101A"/>
        </w:rPr>
        <w:t>Institution</w:t>
      </w:r>
    </w:p>
    <w:p w:rsidR="003D2BE3" w:rsidRPr="003D2BE3" w:rsidRDefault="003D2BE3" w:rsidP="003D2BE3">
      <w:pPr>
        <w:pStyle w:val="NormalWeb"/>
        <w:spacing w:before="0" w:beforeAutospacing="0" w:after="0" w:afterAutospacing="0" w:line="480" w:lineRule="auto"/>
        <w:jc w:val="center"/>
        <w:rPr>
          <w:color w:val="0E101A"/>
        </w:rPr>
      </w:pPr>
      <w:r w:rsidRPr="003D2BE3">
        <w:rPr>
          <w:color w:val="0E101A"/>
        </w:rPr>
        <w:t>Date</w:t>
      </w:r>
    </w:p>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ind w:firstLine="720"/>
        <w:rPr>
          <w:color w:val="0E101A"/>
        </w:rPr>
      </w:pPr>
    </w:p>
    <w:p w:rsidR="003D2BE3" w:rsidRPr="003D2BE3" w:rsidRDefault="003D2BE3" w:rsidP="003D2BE3">
      <w:pPr>
        <w:pStyle w:val="NormalWeb"/>
        <w:spacing w:before="0" w:beforeAutospacing="0" w:after="0" w:afterAutospacing="0" w:line="480" w:lineRule="auto"/>
        <w:jc w:val="center"/>
        <w:rPr>
          <w:color w:val="0E101A"/>
        </w:rPr>
      </w:pPr>
      <w:r w:rsidRPr="003D2BE3">
        <w:rPr>
          <w:color w:val="0E101A"/>
        </w:rPr>
        <w:lastRenderedPageBreak/>
        <w:t>Community Strategic Plan Part B; Strategic Plan</w:t>
      </w:r>
    </w:p>
    <w:p w:rsidR="003D2BE3" w:rsidRPr="003D2BE3" w:rsidRDefault="003D2BE3" w:rsidP="003D2BE3">
      <w:pPr>
        <w:pStyle w:val="NormalWeb"/>
        <w:spacing w:before="0" w:beforeAutospacing="0" w:after="0" w:afterAutospacing="0" w:line="480" w:lineRule="auto"/>
        <w:jc w:val="center"/>
        <w:rPr>
          <w:color w:val="0E101A"/>
        </w:rPr>
      </w:pPr>
      <w:r w:rsidRPr="003D2BE3">
        <w:rPr>
          <w:rStyle w:val="Strong"/>
          <w:color w:val="0E101A"/>
        </w:rPr>
        <w:t>Introduction</w:t>
      </w:r>
    </w:p>
    <w:p w:rsidR="003D2BE3" w:rsidRPr="003D2BE3" w:rsidRDefault="003D2BE3" w:rsidP="003D2BE3">
      <w:pPr>
        <w:pStyle w:val="NormalWeb"/>
        <w:spacing w:before="0" w:beforeAutospacing="0" w:after="0" w:afterAutospacing="0" w:line="480" w:lineRule="auto"/>
        <w:ind w:firstLine="720"/>
        <w:rPr>
          <w:color w:val="0E101A"/>
        </w:rPr>
      </w:pPr>
      <w:r w:rsidRPr="003D2BE3">
        <w:rPr>
          <w:color w:val="0E101A"/>
        </w:rPr>
        <w:t>Community assessment is critical in the clinical practice as it helps the healthcare practitioners understand the resources they can use to improve the general health of all the community members. The community I assessed has several well-equipped rural healthcare units that provide immediate care to all the residents, and the elderly have specialized units where they seek medical attendance. Additionally, the community has many established resources like playgrounds, where people of all ages can freely exercise for physical fitness (Pennel et al., 2017). A community without learning institutions is regarded as incomplete. For the rural community, I assessed has many learning and research institutions that are deemed necessary for solving the existing community challenges. Coverage from the Medicare Federal healthcare program for older people is among the issues much celebrated in the community. However, the community has several concerns that act as barriers to quality care among the elderly. One of the indisputable resources that I cherished about the community is the presence of intelligent leaders who make an ethical decision about community progress. The feeding program for the elderly seems to be less effective, which is a primary drawback to better health (Pennel et al., 2017). The water available for domestic uses is not always fluorinated, and this can be challenging for quality health. Inadequate kitchen facilities accelerate the incidences of falls among elderly patients, so there is a need for improvement.    </w:t>
      </w:r>
    </w:p>
    <w:p w:rsidR="00840FC9" w:rsidRDefault="003D2BE3" w:rsidP="003D2BE3">
      <w:pPr>
        <w:pStyle w:val="NormalWeb"/>
        <w:spacing w:before="0" w:beforeAutospacing="0" w:after="0" w:afterAutospacing="0" w:line="480" w:lineRule="auto"/>
        <w:ind w:firstLine="720"/>
        <w:rPr>
          <w:color w:val="0E101A"/>
        </w:rPr>
      </w:pPr>
      <w:r w:rsidRPr="003D2BE3">
        <w:rPr>
          <w:color w:val="0E101A"/>
        </w:rPr>
        <w:t>The second part of the community assessment regarding clinical practice is devising a strategic plan. Following the community's needs, the main focus will be on preventing patient falls among the elderly. According to </w:t>
      </w:r>
      <w:r w:rsidRPr="003D2BE3">
        <w:rPr>
          <w:rStyle w:val="Strong"/>
          <w:b w:val="0"/>
          <w:color w:val="0E101A"/>
        </w:rPr>
        <w:t>the World Health Organization (2018),</w:t>
      </w:r>
      <w:r w:rsidRPr="003D2BE3">
        <w:rPr>
          <w:color w:val="0E101A"/>
        </w:rPr>
        <w:t xml:space="preserve"> the patient fall is unplanned descent to the floor with or without injury to the patients. The falls, in most cases, </w:t>
      </w:r>
      <w:r w:rsidRPr="003D2BE3">
        <w:rPr>
          <w:color w:val="0E101A"/>
        </w:rPr>
        <w:lastRenderedPageBreak/>
        <w:t>result in fractures, lacerations, and internal bleeding. Clinicians have reported that the aging population is at a higher risk of falling than all the other groups of people. Besides, rising patient acuity, inefficient work environment for caregivers, and lack of adequate nurses always accelerate the incidences of falls. Over 600,000 people in the entire world die annually from falls, and most of them are from low-social economic statuses—adults with 65 years and above record higher incidences of fatal falls. In the United States of America, one of four older adults fall annually (</w:t>
      </w:r>
      <w:r w:rsidRPr="003D2BE3">
        <w:rPr>
          <w:rStyle w:val="Strong"/>
          <w:b w:val="0"/>
          <w:color w:val="0E101A"/>
        </w:rPr>
        <w:t>World Health Organization, 2018).</w:t>
      </w:r>
      <w:r w:rsidRPr="003D2BE3">
        <w:rPr>
          <w:color w:val="0E101A"/>
        </w:rPr>
        <w:t> Every 11 seconds, an older adult is treated in the emergency room for a fall; every 19 minutes, an older adult dies. In Brazil, the number of older adult falls amount to at least 30% of the total older adults. In the past decade, the number of elderly adults falls increased by 31%, and this is so alarming as it implies more people in the ICU due to fall injuries and increased deaths (</w:t>
      </w:r>
      <w:r w:rsidRPr="003D2BE3">
        <w:rPr>
          <w:rStyle w:val="Strong"/>
          <w:b w:val="0"/>
          <w:color w:val="0E101A"/>
        </w:rPr>
        <w:t>World Health Organization, 2018).</w:t>
      </w:r>
      <w:r w:rsidRPr="003D2BE3">
        <w:rPr>
          <w:color w:val="0E101A"/>
        </w:rPr>
        <w:t> In the U.S, it approximated that at least $50 billion are spent on falls among the adults. 99% of these are nonfatal falls but need to be examined to check for internal bleedings an</w:t>
      </w:r>
      <w:r w:rsidR="00840FC9">
        <w:rPr>
          <w:color w:val="0E101A"/>
        </w:rPr>
        <w:t>d relieve the patients from pain.</w:t>
      </w:r>
    </w:p>
    <w:p w:rsidR="003D2BE3" w:rsidRDefault="00840FC9" w:rsidP="00840FC9">
      <w:pPr>
        <w:pStyle w:val="NormalWeb"/>
        <w:spacing w:before="0" w:beforeAutospacing="0" w:after="0" w:afterAutospacing="0" w:line="480" w:lineRule="auto"/>
        <w:ind w:firstLine="720"/>
        <w:rPr>
          <w:color w:val="0E101A"/>
        </w:rPr>
      </w:pPr>
      <w:r w:rsidRPr="00840FC9">
        <w:rPr>
          <w:noProof/>
        </w:rPr>
        <w:t xml:space="preserve"> </w:t>
      </w:r>
      <w:r>
        <w:rPr>
          <w:noProof/>
        </w:rPr>
        <w:drawing>
          <wp:inline distT="0" distB="0" distL="0" distR="0" wp14:anchorId="550D5119" wp14:editId="3CA16B64">
            <wp:extent cx="4985385" cy="2433099"/>
            <wp:effectExtent l="0" t="0" r="5715" b="5715"/>
            <wp:docPr id="1" name="Picture 1" descr="Important Facts about Falls | Home and Recreational Safety | CD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portant Facts about Falls | Home and Recreational Safety | CDC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93228" cy="2436927"/>
                    </a:xfrm>
                    <a:prstGeom prst="rect">
                      <a:avLst/>
                    </a:prstGeom>
                    <a:noFill/>
                    <a:ln>
                      <a:noFill/>
                    </a:ln>
                  </pic:spPr>
                </pic:pic>
              </a:graphicData>
            </a:graphic>
          </wp:inline>
        </w:drawing>
      </w:r>
    </w:p>
    <w:p w:rsidR="00840FC9" w:rsidRPr="00840FC9" w:rsidRDefault="00840FC9" w:rsidP="00840FC9">
      <w:pPr>
        <w:pStyle w:val="NormalWeb"/>
        <w:spacing w:before="0" w:beforeAutospacing="0" w:after="0" w:afterAutospacing="0" w:line="480" w:lineRule="auto"/>
        <w:ind w:firstLine="720"/>
        <w:jc w:val="center"/>
        <w:rPr>
          <w:i/>
          <w:color w:val="0E101A"/>
        </w:rPr>
      </w:pPr>
      <w:r w:rsidRPr="00840FC9">
        <w:rPr>
          <w:i/>
          <w:color w:val="0E101A"/>
        </w:rPr>
        <w:t>Fig1.0: image on fall death rates in U.S till from 2007 to 2016.</w:t>
      </w:r>
    </w:p>
    <w:p w:rsidR="00840FC9" w:rsidRDefault="00840FC9" w:rsidP="00840FC9">
      <w:pPr>
        <w:pStyle w:val="NormalWeb"/>
        <w:spacing w:before="0" w:beforeAutospacing="0" w:after="0" w:afterAutospacing="0" w:line="480" w:lineRule="auto"/>
        <w:rPr>
          <w:rStyle w:val="Strong"/>
          <w:b w:val="0"/>
          <w:color w:val="0E101A"/>
        </w:rPr>
      </w:pPr>
    </w:p>
    <w:p w:rsidR="003D2BE3" w:rsidRPr="00840FC9" w:rsidRDefault="003D2BE3" w:rsidP="00840FC9">
      <w:pPr>
        <w:pStyle w:val="NormalWeb"/>
        <w:spacing w:before="0" w:beforeAutospacing="0" w:after="0" w:afterAutospacing="0" w:line="480" w:lineRule="auto"/>
        <w:jc w:val="center"/>
        <w:rPr>
          <w:color w:val="0E101A"/>
        </w:rPr>
      </w:pPr>
      <w:r w:rsidRPr="00840FC9">
        <w:rPr>
          <w:rStyle w:val="Strong"/>
          <w:color w:val="0E101A"/>
        </w:rPr>
        <w:lastRenderedPageBreak/>
        <w:t>Advance practices roles and management strategies that affect change in the community level</w:t>
      </w:r>
    </w:p>
    <w:p w:rsidR="003D2BE3" w:rsidRPr="003D2BE3" w:rsidRDefault="003D2BE3" w:rsidP="003D2BE3">
      <w:pPr>
        <w:pStyle w:val="NormalWeb"/>
        <w:spacing w:before="0" w:beforeAutospacing="0" w:after="0" w:afterAutospacing="0" w:line="480" w:lineRule="auto"/>
        <w:ind w:firstLine="720"/>
        <w:rPr>
          <w:color w:val="0E101A"/>
        </w:rPr>
      </w:pPr>
      <w:r w:rsidRPr="003D2BE3">
        <w:rPr>
          <w:rStyle w:val="Strong"/>
          <w:b w:val="0"/>
          <w:color w:val="0E101A"/>
        </w:rPr>
        <w:t>Most communities have several things that pull back their efforts of success and practices for effective management strategies. Diversity is among the leading drawbacks of success, as there are people from different cultures. This implies that failure to have all these people getting represented in the community leadership increases the chances of chaos. In the clinical sector, there are clinicians from all these cultures, but they may not always meet the needs of the community members, and at times, this leads to complaints about poor care in the healthcare centers (</w:t>
      </w:r>
      <w:r w:rsidRPr="003D2BE3">
        <w:rPr>
          <w:color w:val="0E101A"/>
        </w:rPr>
        <w:t>Issel &amp; Wells, 2017).</w:t>
      </w:r>
      <w:r w:rsidRPr="003D2BE3">
        <w:rPr>
          <w:rStyle w:val="Strong"/>
          <w:b w:val="0"/>
          <w:color w:val="0E101A"/>
        </w:rPr>
        <w:t> The responsibility for the elderly is, at times, wanting. This has been so as a result of increased urbanization of the young people leaving the elderly in the rural areas. The imbalance of age groups in the community has attracted mere challenges for the elderly as some of them lack competent caregivers at the family levels. These changes have affected the nature of operations in the clinical practice. The community response to elderly falls has taken new procedures that might delay response from the caregivers, especially if the falls happened at home (</w:t>
      </w:r>
      <w:r w:rsidRPr="003D2BE3">
        <w:rPr>
          <w:color w:val="0E101A"/>
        </w:rPr>
        <w:t>Issel &amp; Wells, 2017).</w:t>
      </w:r>
      <w:r w:rsidRPr="003D2BE3">
        <w:rPr>
          <w:rStyle w:val="Strong"/>
          <w:b w:val="0"/>
          <w:color w:val="0E101A"/>
        </w:rPr>
        <w:t> It might take some time before the transport agencies arrive at the destination of need, resulting in more suffering.</w:t>
      </w:r>
    </w:p>
    <w:p w:rsidR="003D2BE3" w:rsidRPr="00840FC9" w:rsidRDefault="003D2BE3" w:rsidP="00840FC9">
      <w:pPr>
        <w:pStyle w:val="NormalWeb"/>
        <w:spacing w:before="0" w:beforeAutospacing="0" w:after="0" w:afterAutospacing="0" w:line="480" w:lineRule="auto"/>
        <w:jc w:val="center"/>
        <w:rPr>
          <w:color w:val="0E101A"/>
        </w:rPr>
      </w:pPr>
      <w:r w:rsidRPr="00840FC9">
        <w:rPr>
          <w:rStyle w:val="Strong"/>
          <w:color w:val="0E101A"/>
        </w:rPr>
        <w:t>Community resources that affect fall incidences among the elderly</w:t>
      </w:r>
    </w:p>
    <w:p w:rsidR="003D2BE3" w:rsidRPr="003D2BE3" w:rsidRDefault="003D2BE3" w:rsidP="003D2BE3">
      <w:pPr>
        <w:pStyle w:val="NormalWeb"/>
        <w:spacing w:before="0" w:beforeAutospacing="0" w:after="0" w:afterAutospacing="0" w:line="480" w:lineRule="auto"/>
        <w:ind w:firstLine="720"/>
        <w:rPr>
          <w:color w:val="0E101A"/>
        </w:rPr>
      </w:pPr>
      <w:r w:rsidRPr="003D2BE3">
        <w:rPr>
          <w:rStyle w:val="Strong"/>
          <w:b w:val="0"/>
          <w:color w:val="0E101A"/>
        </w:rPr>
        <w:t xml:space="preserve">  The incidences of older people fall are on the increase both at the family levels and in the clinics. One of the reasons for increased falls is drinking alcohol. The community has a lot of recreational facilities, especially bars where people take alcohol. Excessive intake of alcohol has been attracting patient falls due to hallucinations and impaired decision making. In healthcare centers, the number of nurses cannot match elderly patients. This has been associated with most clinicians preferring to work in more prominent healthcare organizations in the urban areas than </w:t>
      </w:r>
      <w:r w:rsidRPr="003D2BE3">
        <w:rPr>
          <w:rStyle w:val="Strong"/>
          <w:b w:val="0"/>
          <w:color w:val="0E101A"/>
        </w:rPr>
        <w:lastRenderedPageBreak/>
        <w:t>in the rural (</w:t>
      </w:r>
      <w:r w:rsidRPr="003D2BE3">
        <w:rPr>
          <w:color w:val="0E101A"/>
        </w:rPr>
        <w:t>Issel &amp; Wells, 2017).</w:t>
      </w:r>
      <w:r w:rsidRPr="003D2BE3">
        <w:rPr>
          <w:rStyle w:val="Strong"/>
          <w:b w:val="0"/>
          <w:color w:val="0E101A"/>
        </w:rPr>
        <w:t> Generally, the shortage of clinicians has resulted in increased elderly falls. Lastly, most elderly adults seem to lack knowledge on preventing falls, which has contributed to increased incidences of falls.</w:t>
      </w:r>
    </w:p>
    <w:p w:rsidR="003D2BE3" w:rsidRPr="00840FC9" w:rsidRDefault="003D2BE3" w:rsidP="00840FC9">
      <w:pPr>
        <w:pStyle w:val="NormalWeb"/>
        <w:spacing w:before="0" w:beforeAutospacing="0" w:after="0" w:afterAutospacing="0" w:line="480" w:lineRule="auto"/>
        <w:jc w:val="center"/>
        <w:rPr>
          <w:color w:val="0E101A"/>
        </w:rPr>
      </w:pPr>
      <w:r w:rsidRPr="00840FC9">
        <w:rPr>
          <w:rStyle w:val="Strong"/>
          <w:color w:val="0E101A"/>
        </w:rPr>
        <w:t>Community changes that prevent elderly patients' falls</w:t>
      </w:r>
    </w:p>
    <w:p w:rsidR="003D2BE3" w:rsidRPr="003D2BE3" w:rsidRDefault="003D2BE3" w:rsidP="003D2BE3">
      <w:pPr>
        <w:pStyle w:val="NormalWeb"/>
        <w:spacing w:before="0" w:beforeAutospacing="0" w:after="0" w:afterAutospacing="0" w:line="480" w:lineRule="auto"/>
        <w:ind w:firstLine="720"/>
        <w:rPr>
          <w:color w:val="0E101A"/>
        </w:rPr>
      </w:pPr>
      <w:r w:rsidRPr="003D2BE3">
        <w:rPr>
          <w:rStyle w:val="Strong"/>
          <w:b w:val="0"/>
          <w:color w:val="0E101A"/>
        </w:rPr>
        <w:t>      The community transformations that can limit the rates of elderly patient fall include educating them on the causes of falls in the first place. Alcoholism is a known factor that accelerates incidences of falls apart from old age. So advising the elderly to have safe drinking habits can help the community to record decreased falls. At the family levels, the caregivers to the elderly should be in the front line to ensure that the grandparents or even parents are living in houses that do not attract falls (</w:t>
      </w:r>
      <w:r w:rsidRPr="003D2BE3">
        <w:rPr>
          <w:color w:val="0E101A"/>
        </w:rPr>
        <w:t>Issel &amp; Wells, 2017).</w:t>
      </w:r>
      <w:r w:rsidRPr="003D2BE3">
        <w:rPr>
          <w:rStyle w:val="Strong"/>
          <w:b w:val="0"/>
          <w:color w:val="0E101A"/>
        </w:rPr>
        <w:t> For example, the kitchen facilities should be arranged so that no obstruction can result in elderly falls. Supporting older adults with vision problems can also help in minimizing the incidences of falls.</w:t>
      </w:r>
    </w:p>
    <w:p w:rsidR="003D2BE3" w:rsidRPr="00840FC9" w:rsidRDefault="003D2BE3" w:rsidP="00840FC9">
      <w:pPr>
        <w:pStyle w:val="NormalWeb"/>
        <w:spacing w:before="0" w:beforeAutospacing="0" w:after="0" w:afterAutospacing="0" w:line="480" w:lineRule="auto"/>
        <w:jc w:val="center"/>
        <w:rPr>
          <w:color w:val="0E101A"/>
        </w:rPr>
      </w:pPr>
      <w:r w:rsidRPr="00840FC9">
        <w:rPr>
          <w:rStyle w:val="Strong"/>
          <w:color w:val="0E101A"/>
        </w:rPr>
        <w:t>The strategic plan that can be used to prevent falls among older adults</w:t>
      </w:r>
    </w:p>
    <w:p w:rsidR="003D2BE3" w:rsidRPr="003D2BE3" w:rsidRDefault="003D2BE3" w:rsidP="003D2BE3">
      <w:pPr>
        <w:pStyle w:val="NormalWeb"/>
        <w:spacing w:before="0" w:beforeAutospacing="0" w:after="0" w:afterAutospacing="0" w:line="480" w:lineRule="auto"/>
        <w:ind w:firstLine="720"/>
        <w:rPr>
          <w:color w:val="0E101A"/>
        </w:rPr>
      </w:pPr>
      <w:r w:rsidRPr="003D2BE3">
        <w:rPr>
          <w:rStyle w:val="Strong"/>
          <w:b w:val="0"/>
          <w:color w:val="0E101A"/>
        </w:rPr>
        <w:t> It has become an issue of concern in the community that devising strategies for limiting older adults in the city are crucial. Vison optimization is among the best strategies that have been of great help to people. Older adults have vision complications, which has led to their increased falls (</w:t>
      </w:r>
      <w:r w:rsidRPr="003D2BE3">
        <w:rPr>
          <w:color w:val="0E101A"/>
        </w:rPr>
        <w:t>Leggett, Jess, &amp; McNamara, 2017).</w:t>
      </w:r>
      <w:r w:rsidRPr="003D2BE3">
        <w:rPr>
          <w:rStyle w:val="Strong"/>
          <w:b w:val="0"/>
          <w:color w:val="0E101A"/>
        </w:rPr>
        <w:t> Cataract surgery is needed for adults with complicated vision issues, and this will act as an ultimate solution to the falls. Exercise programs are also linked to decreased falls in older people. Since the community has well-developed playgrounds, the elderly should be encouraged to adopt an active lifestyle by running and playing games that will keep them more flexible. Vitamin D supplementation for older adults gives the elderly bone strength and thus improving the levels of stability and thus prevent falls (</w:t>
      </w:r>
      <w:r w:rsidRPr="003D2BE3">
        <w:rPr>
          <w:color w:val="0E101A"/>
        </w:rPr>
        <w:t>Leggett, Jess, &amp; McNamara, 2017).</w:t>
      </w:r>
      <w:r w:rsidRPr="003D2BE3">
        <w:rPr>
          <w:rStyle w:val="Strong"/>
          <w:b w:val="0"/>
          <w:color w:val="0E101A"/>
        </w:rPr>
        <w:t xml:space="preserve">  Withdrawal of psychoactive medications that lead to hallucinations and, at </w:t>
      </w:r>
      <w:r w:rsidRPr="003D2BE3">
        <w:rPr>
          <w:rStyle w:val="Strong"/>
          <w:b w:val="0"/>
          <w:color w:val="0E101A"/>
        </w:rPr>
        <w:lastRenderedPageBreak/>
        <w:t>times, general body weakness should be avoided on the older adults to make them more stable and safe. More significantly, the number of healthcare professions should be increased, and in-service training on how to handle the older people should be initiated to limit the ever-growing quantities of elderly adult falls. Lastly, home modifications are essential, and this should be done by laying out strategies that minimize the risks of falls to older adults (</w:t>
      </w:r>
      <w:r w:rsidRPr="003D2BE3">
        <w:rPr>
          <w:color w:val="0E101A"/>
        </w:rPr>
        <w:t>Leggett, Jess, &amp; McNamara, 2017).</w:t>
      </w:r>
      <w:r w:rsidRPr="003D2BE3">
        <w:rPr>
          <w:rStyle w:val="Strong"/>
          <w:b w:val="0"/>
          <w:color w:val="0E101A"/>
        </w:rPr>
        <w:t> Caregivers should always be concerned about the well-being of older adults and support them necessary for improved health. </w:t>
      </w:r>
    </w:p>
    <w:p w:rsidR="003D2BE3" w:rsidRPr="00840FC9" w:rsidRDefault="003D2BE3" w:rsidP="00840FC9">
      <w:pPr>
        <w:pStyle w:val="NormalWeb"/>
        <w:spacing w:before="0" w:beforeAutospacing="0" w:after="0" w:afterAutospacing="0" w:line="480" w:lineRule="auto"/>
        <w:jc w:val="center"/>
        <w:rPr>
          <w:color w:val="0E101A"/>
        </w:rPr>
      </w:pPr>
      <w:r w:rsidRPr="00840FC9">
        <w:rPr>
          <w:rStyle w:val="Strong"/>
          <w:color w:val="0E101A"/>
        </w:rPr>
        <w:t>Conclusion</w:t>
      </w:r>
    </w:p>
    <w:p w:rsidR="003D2BE3" w:rsidRPr="003D2BE3" w:rsidRDefault="003D2BE3" w:rsidP="003D2BE3">
      <w:pPr>
        <w:pStyle w:val="NormalWeb"/>
        <w:spacing w:before="0" w:beforeAutospacing="0" w:after="0" w:afterAutospacing="0" w:line="480" w:lineRule="auto"/>
        <w:ind w:firstLine="720"/>
        <w:rPr>
          <w:color w:val="0E101A"/>
        </w:rPr>
      </w:pPr>
      <w:r w:rsidRPr="003D2BE3">
        <w:rPr>
          <w:rStyle w:val="Strong"/>
          <w:b w:val="0"/>
          <w:color w:val="0E101A"/>
        </w:rPr>
        <w:t>In summations, the community has resources that can be effectively utilized to minimize the rates of falls among the elderly. For instance, the presence of rural healthcare units, school playgrounds, and ethical leadership in the community issues to be celebrated. The healthcare practitioners seem much committed to intervening for falls among older people, and they have managed to achieve this at some level. However, alcoholism has been listed as risk factor that is not addressed adequately, then the incidences of falls among the elderly will be ever on the increase. The main strategies for curbing falls in older adults include vision optimization and managing cataracts, offering family-based care and home modifications to limit the causes of falls, in-serving the nurses in intervention mechanisms to older patients in the clinics, educating the adults on the necessity of exercise programs to gain stability, and avoiding the prescribing drugs that have underlying psychoactive side effects. </w:t>
      </w:r>
    </w:p>
    <w:p w:rsidR="00840FC9" w:rsidRDefault="00840FC9" w:rsidP="00840FC9">
      <w:pPr>
        <w:pStyle w:val="NormalWeb"/>
        <w:spacing w:before="0" w:beforeAutospacing="0" w:after="0" w:afterAutospacing="0" w:line="480" w:lineRule="auto"/>
        <w:jc w:val="center"/>
        <w:rPr>
          <w:rStyle w:val="Strong"/>
          <w:b w:val="0"/>
          <w:color w:val="0E101A"/>
        </w:rPr>
      </w:pPr>
    </w:p>
    <w:p w:rsidR="00840FC9" w:rsidRDefault="00840FC9" w:rsidP="00840FC9">
      <w:pPr>
        <w:pStyle w:val="NormalWeb"/>
        <w:spacing w:before="0" w:beforeAutospacing="0" w:after="0" w:afterAutospacing="0" w:line="480" w:lineRule="auto"/>
        <w:jc w:val="center"/>
        <w:rPr>
          <w:rStyle w:val="Strong"/>
          <w:b w:val="0"/>
          <w:color w:val="0E101A"/>
        </w:rPr>
      </w:pPr>
    </w:p>
    <w:p w:rsidR="00840FC9" w:rsidRDefault="00840FC9" w:rsidP="00840FC9">
      <w:pPr>
        <w:pStyle w:val="NormalWeb"/>
        <w:spacing w:before="0" w:beforeAutospacing="0" w:after="0" w:afterAutospacing="0" w:line="480" w:lineRule="auto"/>
        <w:jc w:val="center"/>
        <w:rPr>
          <w:rStyle w:val="Strong"/>
          <w:b w:val="0"/>
          <w:color w:val="0E101A"/>
        </w:rPr>
      </w:pPr>
    </w:p>
    <w:p w:rsidR="00840FC9" w:rsidRDefault="00840FC9" w:rsidP="00840FC9">
      <w:pPr>
        <w:pStyle w:val="NormalWeb"/>
        <w:spacing w:before="0" w:beforeAutospacing="0" w:after="0" w:afterAutospacing="0" w:line="480" w:lineRule="auto"/>
        <w:jc w:val="center"/>
        <w:rPr>
          <w:rStyle w:val="Strong"/>
          <w:b w:val="0"/>
          <w:color w:val="0E101A"/>
        </w:rPr>
      </w:pPr>
    </w:p>
    <w:p w:rsidR="00136AA4" w:rsidRPr="003D2BE3" w:rsidRDefault="00136AA4" w:rsidP="00840FC9">
      <w:pPr>
        <w:pStyle w:val="NormalWeb"/>
        <w:spacing w:before="0" w:beforeAutospacing="0" w:after="0" w:afterAutospacing="0" w:line="480" w:lineRule="auto"/>
        <w:jc w:val="center"/>
        <w:rPr>
          <w:rStyle w:val="Strong"/>
          <w:b w:val="0"/>
          <w:color w:val="0E101A"/>
        </w:rPr>
      </w:pPr>
      <w:r w:rsidRPr="003D2BE3">
        <w:rPr>
          <w:rStyle w:val="Strong"/>
          <w:b w:val="0"/>
          <w:color w:val="0E101A"/>
        </w:rPr>
        <w:lastRenderedPageBreak/>
        <w:t>References</w:t>
      </w:r>
    </w:p>
    <w:p w:rsidR="00840FC9" w:rsidRPr="003D2BE3" w:rsidRDefault="00840FC9" w:rsidP="00840FC9">
      <w:pPr>
        <w:pStyle w:val="NormalWeb"/>
        <w:spacing w:before="0" w:beforeAutospacing="0" w:after="0" w:afterAutospacing="0" w:line="480" w:lineRule="auto"/>
        <w:ind w:left="720" w:hanging="720"/>
        <w:rPr>
          <w:color w:val="0E101A"/>
        </w:rPr>
      </w:pPr>
      <w:r w:rsidRPr="003D2BE3">
        <w:rPr>
          <w:color w:val="222222"/>
          <w:shd w:val="clear" w:color="auto" w:fill="FFFFFF"/>
        </w:rPr>
        <w:t>Issel, L. M., &amp; Wells, R. (2017). </w:t>
      </w:r>
      <w:r w:rsidRPr="003D2BE3">
        <w:rPr>
          <w:i/>
          <w:iCs/>
          <w:color w:val="222222"/>
          <w:shd w:val="clear" w:color="auto" w:fill="FFFFFF"/>
        </w:rPr>
        <w:t>Health program planning and evaluation: A practical, systematic approach for community health</w:t>
      </w:r>
      <w:r w:rsidRPr="003D2BE3">
        <w:rPr>
          <w:color w:val="222222"/>
          <w:shd w:val="clear" w:color="auto" w:fill="FFFFFF"/>
        </w:rPr>
        <w:t>. Jones &amp; Bartlett Learning.</w:t>
      </w:r>
    </w:p>
    <w:p w:rsidR="00840FC9" w:rsidRPr="003D2BE3" w:rsidRDefault="00840FC9" w:rsidP="00840FC9">
      <w:pPr>
        <w:pStyle w:val="NormalWeb"/>
        <w:spacing w:before="0" w:beforeAutospacing="0" w:after="0" w:afterAutospacing="0" w:line="480" w:lineRule="auto"/>
        <w:ind w:left="720" w:hanging="720"/>
        <w:rPr>
          <w:color w:val="222222"/>
          <w:shd w:val="clear" w:color="auto" w:fill="FFFFFF"/>
        </w:rPr>
      </w:pPr>
      <w:r w:rsidRPr="003D2BE3">
        <w:rPr>
          <w:color w:val="222222"/>
          <w:shd w:val="clear" w:color="auto" w:fill="FFFFFF"/>
        </w:rPr>
        <w:t>Leggett, C., Jess, J., &amp; McNamara, R. (2017). A Multi-disciplinary approach to falls prevention in the elderly. </w:t>
      </w:r>
      <w:r w:rsidRPr="003D2BE3">
        <w:rPr>
          <w:i/>
          <w:iCs/>
          <w:color w:val="222222"/>
          <w:shd w:val="clear" w:color="auto" w:fill="FFFFFF"/>
        </w:rPr>
        <w:t>International Journal of Integrated Care</w:t>
      </w:r>
      <w:r w:rsidRPr="003D2BE3">
        <w:rPr>
          <w:color w:val="222222"/>
          <w:shd w:val="clear" w:color="auto" w:fill="FFFFFF"/>
        </w:rPr>
        <w:t>, </w:t>
      </w:r>
      <w:r w:rsidRPr="003D2BE3">
        <w:rPr>
          <w:i/>
          <w:iCs/>
          <w:color w:val="222222"/>
          <w:shd w:val="clear" w:color="auto" w:fill="FFFFFF"/>
        </w:rPr>
        <w:t>17</w:t>
      </w:r>
      <w:r w:rsidRPr="003D2BE3">
        <w:rPr>
          <w:color w:val="222222"/>
          <w:shd w:val="clear" w:color="auto" w:fill="FFFFFF"/>
        </w:rPr>
        <w:t>(5).</w:t>
      </w:r>
    </w:p>
    <w:p w:rsidR="00840FC9" w:rsidRPr="003D2BE3" w:rsidRDefault="00840FC9" w:rsidP="00840FC9">
      <w:pPr>
        <w:pStyle w:val="NormalWeb"/>
        <w:spacing w:before="0" w:beforeAutospacing="0" w:after="0" w:afterAutospacing="0" w:line="480" w:lineRule="auto"/>
        <w:ind w:left="720" w:hanging="720"/>
        <w:rPr>
          <w:color w:val="222222"/>
          <w:shd w:val="clear" w:color="auto" w:fill="FFFFFF"/>
        </w:rPr>
      </w:pPr>
      <w:r w:rsidRPr="003D2BE3">
        <w:rPr>
          <w:color w:val="222222"/>
          <w:shd w:val="clear" w:color="auto" w:fill="FFFFFF"/>
        </w:rPr>
        <w:t>Pennel, C. L., Burdine, J. N., Prochaska, J. D., &amp; McLeroy, K. R. (2017). Common and critical components among community health assessment and community health improvement planning models. </w:t>
      </w:r>
      <w:r w:rsidRPr="003D2BE3">
        <w:rPr>
          <w:i/>
          <w:iCs/>
          <w:color w:val="222222"/>
          <w:shd w:val="clear" w:color="auto" w:fill="FFFFFF"/>
        </w:rPr>
        <w:t>Journal of Public Health Management and Practice</w:t>
      </w:r>
      <w:r w:rsidRPr="003D2BE3">
        <w:rPr>
          <w:color w:val="222222"/>
          <w:shd w:val="clear" w:color="auto" w:fill="FFFFFF"/>
        </w:rPr>
        <w:t>, </w:t>
      </w:r>
      <w:r w:rsidRPr="003D2BE3">
        <w:rPr>
          <w:i/>
          <w:iCs/>
          <w:color w:val="222222"/>
          <w:shd w:val="clear" w:color="auto" w:fill="FFFFFF"/>
        </w:rPr>
        <w:t>23</w:t>
      </w:r>
      <w:r w:rsidRPr="003D2BE3">
        <w:rPr>
          <w:color w:val="222222"/>
          <w:shd w:val="clear" w:color="auto" w:fill="FFFFFF"/>
        </w:rPr>
        <w:t>, S14-S21.</w:t>
      </w:r>
    </w:p>
    <w:p w:rsidR="00840FC9" w:rsidRDefault="00840FC9" w:rsidP="00840FC9">
      <w:pPr>
        <w:pStyle w:val="NormalWeb"/>
        <w:spacing w:before="0" w:beforeAutospacing="0" w:after="0" w:afterAutospacing="0" w:line="480" w:lineRule="auto"/>
        <w:ind w:left="720" w:hanging="720"/>
        <w:rPr>
          <w:rStyle w:val="Strong"/>
          <w:b w:val="0"/>
        </w:rPr>
      </w:pPr>
      <w:r w:rsidRPr="00840FC9">
        <w:rPr>
          <w:rStyle w:val="Strong"/>
          <w:b w:val="0"/>
        </w:rPr>
        <w:t xml:space="preserve">World Health Organization., (2018). Falls. Retrieved from. </w:t>
      </w:r>
      <w:hyperlink r:id="rId7" w:history="1">
        <w:r w:rsidRPr="00840FC9">
          <w:rPr>
            <w:rStyle w:val="Hyperlink"/>
            <w:color w:val="auto"/>
            <w:u w:val="none"/>
          </w:rPr>
          <w:t>https://www.who.int/news-room/fact-sheets/detail/falls</w:t>
        </w:r>
      </w:hyperlink>
      <w:r w:rsidRPr="00840FC9">
        <w:rPr>
          <w:rStyle w:val="Strong"/>
          <w:b w:val="0"/>
        </w:rPr>
        <w:t xml:space="preserve"> </w:t>
      </w:r>
    </w:p>
    <w:p w:rsidR="00840FC9" w:rsidRDefault="00840FC9" w:rsidP="00840FC9">
      <w:pPr>
        <w:pStyle w:val="NormalWeb"/>
        <w:spacing w:before="0" w:beforeAutospacing="0" w:after="0" w:afterAutospacing="0" w:line="480" w:lineRule="auto"/>
        <w:rPr>
          <w:rStyle w:val="Strong"/>
          <w:b w:val="0"/>
        </w:rPr>
      </w:pPr>
    </w:p>
    <w:p w:rsidR="00840FC9" w:rsidRDefault="00840FC9" w:rsidP="00840FC9">
      <w:pPr>
        <w:pStyle w:val="NormalWeb"/>
        <w:spacing w:before="0" w:beforeAutospacing="0" w:after="0" w:afterAutospacing="0" w:line="480" w:lineRule="auto"/>
        <w:rPr>
          <w:rStyle w:val="Strong"/>
          <w:b w:val="0"/>
        </w:rPr>
      </w:pPr>
    </w:p>
    <w:p w:rsidR="00840FC9" w:rsidRDefault="00840FC9" w:rsidP="00840FC9">
      <w:pPr>
        <w:pStyle w:val="NormalWeb"/>
        <w:spacing w:before="0" w:beforeAutospacing="0" w:after="0" w:afterAutospacing="0" w:line="480" w:lineRule="auto"/>
        <w:rPr>
          <w:rStyle w:val="Strong"/>
          <w:b w:val="0"/>
        </w:rPr>
      </w:pPr>
    </w:p>
    <w:p w:rsidR="00840FC9" w:rsidRDefault="00840FC9" w:rsidP="00840FC9">
      <w:pPr>
        <w:pStyle w:val="NormalWeb"/>
        <w:spacing w:before="0" w:beforeAutospacing="0" w:after="0" w:afterAutospacing="0" w:line="480" w:lineRule="auto"/>
        <w:rPr>
          <w:rStyle w:val="Strong"/>
          <w:b w:val="0"/>
        </w:rPr>
      </w:pPr>
    </w:p>
    <w:p w:rsidR="00840FC9" w:rsidRDefault="00840FC9" w:rsidP="00840FC9">
      <w:pPr>
        <w:pStyle w:val="NormalWeb"/>
        <w:spacing w:before="0" w:beforeAutospacing="0" w:after="0" w:afterAutospacing="0" w:line="480" w:lineRule="auto"/>
        <w:rPr>
          <w:rStyle w:val="Strong"/>
          <w:b w:val="0"/>
        </w:rPr>
      </w:pPr>
    </w:p>
    <w:p w:rsidR="00840FC9" w:rsidRDefault="00840FC9" w:rsidP="00840FC9">
      <w:pPr>
        <w:pStyle w:val="NormalWeb"/>
        <w:spacing w:before="0" w:beforeAutospacing="0" w:after="0" w:afterAutospacing="0" w:line="480" w:lineRule="auto"/>
        <w:rPr>
          <w:rStyle w:val="Strong"/>
          <w:b w:val="0"/>
        </w:rPr>
      </w:pPr>
    </w:p>
    <w:p w:rsidR="00840FC9" w:rsidRDefault="00840FC9" w:rsidP="00840FC9">
      <w:pPr>
        <w:pStyle w:val="NormalWeb"/>
        <w:spacing w:before="0" w:beforeAutospacing="0" w:after="0" w:afterAutospacing="0" w:line="480" w:lineRule="auto"/>
        <w:rPr>
          <w:rStyle w:val="Strong"/>
          <w:b w:val="0"/>
        </w:rPr>
      </w:pPr>
    </w:p>
    <w:p w:rsidR="00840FC9" w:rsidRDefault="00840FC9" w:rsidP="00840FC9">
      <w:pPr>
        <w:pStyle w:val="NormalWeb"/>
        <w:spacing w:before="0" w:beforeAutospacing="0" w:after="0" w:afterAutospacing="0" w:line="480" w:lineRule="auto"/>
        <w:rPr>
          <w:rStyle w:val="Strong"/>
          <w:b w:val="0"/>
        </w:rPr>
      </w:pPr>
    </w:p>
    <w:p w:rsidR="00840FC9" w:rsidRDefault="00840FC9" w:rsidP="00840FC9">
      <w:pPr>
        <w:pStyle w:val="NormalWeb"/>
        <w:spacing w:before="0" w:beforeAutospacing="0" w:after="0" w:afterAutospacing="0" w:line="480" w:lineRule="auto"/>
        <w:rPr>
          <w:rStyle w:val="Strong"/>
          <w:b w:val="0"/>
        </w:rPr>
      </w:pPr>
    </w:p>
    <w:p w:rsidR="00840FC9" w:rsidRDefault="00840FC9" w:rsidP="00840FC9">
      <w:pPr>
        <w:pStyle w:val="NormalWeb"/>
        <w:spacing w:before="0" w:beforeAutospacing="0" w:after="0" w:afterAutospacing="0" w:line="480" w:lineRule="auto"/>
        <w:rPr>
          <w:rStyle w:val="Strong"/>
          <w:b w:val="0"/>
        </w:rPr>
      </w:pPr>
    </w:p>
    <w:p w:rsidR="00840FC9" w:rsidRDefault="00840FC9" w:rsidP="00840FC9">
      <w:pPr>
        <w:pStyle w:val="NormalWeb"/>
        <w:spacing w:before="0" w:beforeAutospacing="0" w:after="0" w:afterAutospacing="0" w:line="480" w:lineRule="auto"/>
        <w:rPr>
          <w:rStyle w:val="Strong"/>
          <w:b w:val="0"/>
        </w:rPr>
      </w:pPr>
    </w:p>
    <w:p w:rsidR="00840FC9" w:rsidRDefault="00840FC9" w:rsidP="00840FC9">
      <w:pPr>
        <w:pStyle w:val="NormalWeb"/>
        <w:spacing w:before="0" w:beforeAutospacing="0" w:after="0" w:afterAutospacing="0" w:line="480" w:lineRule="auto"/>
        <w:rPr>
          <w:rStyle w:val="Strong"/>
          <w:b w:val="0"/>
        </w:rPr>
      </w:pPr>
    </w:p>
    <w:p w:rsidR="00840FC9" w:rsidRDefault="00840FC9" w:rsidP="00840FC9">
      <w:pPr>
        <w:pStyle w:val="NormalWeb"/>
        <w:spacing w:before="0" w:beforeAutospacing="0" w:after="0" w:afterAutospacing="0" w:line="480" w:lineRule="auto"/>
        <w:rPr>
          <w:rStyle w:val="Strong"/>
          <w:b w:val="0"/>
        </w:rPr>
      </w:pPr>
    </w:p>
    <w:p w:rsidR="00840FC9" w:rsidRPr="00840FC9" w:rsidRDefault="00840FC9" w:rsidP="00840FC9">
      <w:pPr>
        <w:pStyle w:val="NormalWeb"/>
        <w:spacing w:before="0" w:beforeAutospacing="0" w:after="0" w:afterAutospacing="0" w:line="480" w:lineRule="auto"/>
        <w:jc w:val="center"/>
        <w:rPr>
          <w:rStyle w:val="Strong"/>
        </w:rPr>
      </w:pPr>
      <w:r w:rsidRPr="00840FC9">
        <w:rPr>
          <w:rStyle w:val="Strong"/>
        </w:rPr>
        <w:lastRenderedPageBreak/>
        <w:t>Appendix</w:t>
      </w:r>
    </w:p>
    <w:p w:rsidR="00840FC9" w:rsidRDefault="00840FC9" w:rsidP="00840FC9">
      <w:pPr>
        <w:spacing w:line="480" w:lineRule="auto"/>
        <w:jc w:val="center"/>
        <w:rPr>
          <w:rFonts w:ascii="Times New Roman" w:eastAsia="Times New Roman" w:hAnsi="Times New Roman" w:cs="Times New Roman"/>
          <w:color w:val="0E101A"/>
        </w:rPr>
      </w:pPr>
      <w:r w:rsidRPr="00840FC9">
        <w:rPr>
          <w:rStyle w:val="Strong"/>
          <w:rFonts w:ascii="Times New Roman" w:hAnsi="Times New Roman" w:cs="Times New Roman"/>
          <w:b w:val="0"/>
          <w:sz w:val="24"/>
          <w:szCs w:val="24"/>
        </w:rPr>
        <w:t xml:space="preserve"> </w:t>
      </w:r>
      <w:r>
        <w:rPr>
          <w:rFonts w:ascii="Times New Roman" w:eastAsia="Times New Roman" w:hAnsi="Times New Roman" w:cs="Times New Roman"/>
          <w:color w:val="0E101A"/>
        </w:rPr>
        <w:t>Part A: Community Assessment</w:t>
      </w:r>
    </w:p>
    <w:p w:rsidR="00840FC9" w:rsidRDefault="00840FC9" w:rsidP="00840FC9">
      <w:pPr>
        <w:spacing w:line="480" w:lineRule="auto"/>
        <w:ind w:firstLine="720"/>
        <w:rPr>
          <w:rFonts w:ascii="Times New Roman" w:eastAsia="Times New Roman" w:hAnsi="Times New Roman" w:cs="Times New Roman"/>
          <w:color w:val="0E101A"/>
        </w:rPr>
      </w:pPr>
      <w:r>
        <w:rPr>
          <w:rFonts w:ascii="Times New Roman" w:eastAsia="Times New Roman" w:hAnsi="Times New Roman" w:cs="Times New Roman"/>
          <w:color w:val="0E101A"/>
        </w:rPr>
        <w:t>According to Harkness &amp; DeMarco (2016), a community is a geographical area where people have common interests based on the significance and qualities of the people in a particular area. In the clinical sector, nurses are expected to conduct an effective community assessment. This is vital in integrating the resources and well as incorporating the need of community members in the nursing field. The significance of conducting an effective community assessment is to acknowledge the areas in the medical field the demand improvements. Gordon’s Healthcare functional patterns are unquestionably beneficial in defining the nature of intervention crucial in society for betterment of the healthcare services (Harkness &amp; DeMarco, 2016). The success of any community is linked to the resources available in the community, and thus the healthcare practitioners need to examine all the essential resources. The main focus of this paper is to offer a comprehensive evaluation of the community resources regarding the prevention of patient fall among the elderly and assess the strengths and concerns as well as identifying potential barriers to implementing community health plans in the community and highlighting the ways of addressing these barriers. </w:t>
      </w:r>
    </w:p>
    <w:p w:rsidR="00840FC9" w:rsidRDefault="00840FC9" w:rsidP="00840FC9">
      <w:pPr>
        <w:spacing w:line="480" w:lineRule="auto"/>
        <w:jc w:val="center"/>
        <w:rPr>
          <w:rFonts w:ascii="Times New Roman" w:eastAsia="Times New Roman" w:hAnsi="Times New Roman" w:cs="Times New Roman"/>
          <w:color w:val="0E101A"/>
        </w:rPr>
      </w:pPr>
      <w:r>
        <w:rPr>
          <w:rFonts w:ascii="Times New Roman" w:eastAsia="Times New Roman" w:hAnsi="Times New Roman" w:cs="Times New Roman"/>
          <w:b/>
          <w:bCs/>
          <w:color w:val="0E101A"/>
        </w:rPr>
        <w:t>Resources for Community Assessment</w:t>
      </w:r>
    </w:p>
    <w:p w:rsidR="00840FC9" w:rsidRDefault="00840FC9" w:rsidP="00840FC9">
      <w:pPr>
        <w:spacing w:line="480" w:lineRule="auto"/>
        <w:ind w:firstLine="720"/>
        <w:rPr>
          <w:rFonts w:ascii="Times New Roman" w:eastAsia="Times New Roman" w:hAnsi="Times New Roman" w:cs="Times New Roman"/>
          <w:color w:val="0E101A"/>
        </w:rPr>
      </w:pPr>
      <w:r>
        <w:rPr>
          <w:rFonts w:ascii="Times New Roman" w:eastAsia="Times New Roman" w:hAnsi="Times New Roman" w:cs="Times New Roman"/>
          <w:color w:val="0E101A"/>
        </w:rPr>
        <w:t xml:space="preserve">In the community, there are developed healthcare organizations vital in offering medical services to the sick. In every society infection are normal, and the healthcare organizations are primarily focused on providing quality care to the community members for improved lives. There are well-developed feeding programs for elderly patients. This has been based on the fact that old age comes with a lot of clinical implications, and thus a person needs healthy diets to boost their immunity (Karaca, 2016). Malnutrition is a primary factor for poor health, so communities need to be keen on controlling the same. More significantly, the community has able leaders who are in the frontline of overseeing the better social lives for all the members. The leaders are well aware of the ethics and cultural practices among the residents, and hence they can offer critical information regarding medical practices to be embraced </w:t>
      </w:r>
      <w:r>
        <w:rPr>
          <w:rFonts w:ascii="Times New Roman" w:eastAsia="Times New Roman" w:hAnsi="Times New Roman" w:cs="Times New Roman"/>
          <w:color w:val="0E101A"/>
        </w:rPr>
        <w:lastRenderedPageBreak/>
        <w:t>(Karaca, 2016). There are competent healthcare practitioners in the community, including nurses, nurse educators, and psychiatrists. There are recreational facilities and nursing colleges that supply the community with qualified healthcare practitioners.</w:t>
      </w:r>
    </w:p>
    <w:p w:rsidR="00840FC9" w:rsidRDefault="00840FC9" w:rsidP="00840FC9">
      <w:pPr>
        <w:spacing w:line="480" w:lineRule="auto"/>
        <w:jc w:val="center"/>
        <w:rPr>
          <w:rFonts w:ascii="Times New Roman" w:eastAsia="Times New Roman" w:hAnsi="Times New Roman" w:cs="Times New Roman"/>
          <w:color w:val="0E101A"/>
        </w:rPr>
      </w:pPr>
      <w:r>
        <w:rPr>
          <w:rFonts w:ascii="Times New Roman" w:eastAsia="Times New Roman" w:hAnsi="Times New Roman" w:cs="Times New Roman"/>
          <w:b/>
          <w:bCs/>
          <w:color w:val="0E101A"/>
        </w:rPr>
        <w:t>Community Strengths and Concerns</w:t>
      </w:r>
    </w:p>
    <w:p w:rsidR="00840FC9" w:rsidRDefault="00840FC9" w:rsidP="00840FC9">
      <w:pPr>
        <w:spacing w:line="480" w:lineRule="auto"/>
        <w:ind w:firstLine="720"/>
        <w:rPr>
          <w:rFonts w:ascii="Times New Roman" w:eastAsia="Times New Roman" w:hAnsi="Times New Roman" w:cs="Times New Roman"/>
          <w:color w:val="0E101A"/>
        </w:rPr>
      </w:pPr>
      <w:r>
        <w:rPr>
          <w:rFonts w:ascii="Times New Roman" w:eastAsia="Times New Roman" w:hAnsi="Times New Roman" w:cs="Times New Roman"/>
          <w:color w:val="0E101A"/>
        </w:rPr>
        <w:t>Every community has resources, and these resources are critical in determining the level of the community members’ success in their normal undertakings. Additionally, the community programs available enable certain clinical practices to be possible. The main strengths of my community of assessment include open communication among particular individuals in the community (Karaca, 2016). This necessitates the exchange of basic ideas on development matters. The leaders have desirable qualities and are dedicated to seeing the operations in the clinical practice succeed. Without able leaders, even the clinical will be poorly managed, and the healthcare workers will be out of motivation to carry out their duties. Cooperation among the crucial members of society has motivated the success of different aspects of the community.</w:t>
      </w:r>
    </w:p>
    <w:p w:rsidR="00840FC9" w:rsidRDefault="00840FC9" w:rsidP="00840FC9">
      <w:pPr>
        <w:spacing w:line="480" w:lineRule="auto"/>
        <w:ind w:firstLine="720"/>
        <w:rPr>
          <w:rFonts w:ascii="Times New Roman" w:eastAsia="Times New Roman" w:hAnsi="Times New Roman" w:cs="Times New Roman"/>
          <w:color w:val="0E101A"/>
        </w:rPr>
      </w:pPr>
      <w:r>
        <w:rPr>
          <w:rFonts w:ascii="Times New Roman" w:eastAsia="Times New Roman" w:hAnsi="Times New Roman" w:cs="Times New Roman"/>
          <w:color w:val="0E101A"/>
        </w:rPr>
        <w:t>On the other hand, some issues need rectification for the community to be fully functional. For example, the feeding programs for the elderly are inaccessible, and this has been contributing to increased rates of falling among the patients. The elderly homeless members are subjected to a lot of stress, and they might end up lacking food as a basic need. Practices like sex-education are unheard of, despite the real changes in the societies (Altman, 2019). The worst thing is the absence of a quality child clinic where the infants can have their medical issues addressed. These complications are, at long last, portrayed in old age. Lastly, the community lacks access to fluoridated water, family planning services, and the kitchen facilities need improvements to have elderly patients with fall lead batter lives and thus minimal injuries.</w:t>
      </w:r>
    </w:p>
    <w:p w:rsidR="00840FC9" w:rsidRDefault="00840FC9" w:rsidP="00840FC9">
      <w:pPr>
        <w:spacing w:line="480" w:lineRule="auto"/>
        <w:jc w:val="center"/>
        <w:rPr>
          <w:rFonts w:ascii="Times New Roman" w:eastAsia="Times New Roman" w:hAnsi="Times New Roman" w:cs="Times New Roman"/>
          <w:color w:val="0E101A"/>
        </w:rPr>
      </w:pPr>
      <w:r>
        <w:rPr>
          <w:rFonts w:ascii="Times New Roman" w:eastAsia="Times New Roman" w:hAnsi="Times New Roman" w:cs="Times New Roman"/>
          <w:b/>
          <w:bCs/>
          <w:color w:val="0E101A"/>
        </w:rPr>
        <w:t>Potential Barriers</w:t>
      </w:r>
    </w:p>
    <w:p w:rsidR="00840FC9" w:rsidRDefault="00840FC9" w:rsidP="00840FC9">
      <w:pPr>
        <w:spacing w:line="480" w:lineRule="auto"/>
        <w:ind w:firstLine="720"/>
        <w:rPr>
          <w:rFonts w:ascii="Times New Roman" w:eastAsia="Times New Roman" w:hAnsi="Times New Roman" w:cs="Times New Roman"/>
          <w:color w:val="0E101A"/>
        </w:rPr>
      </w:pPr>
      <w:r>
        <w:rPr>
          <w:rFonts w:ascii="Times New Roman" w:eastAsia="Times New Roman" w:hAnsi="Times New Roman" w:cs="Times New Roman"/>
          <w:color w:val="0E101A"/>
        </w:rPr>
        <w:t xml:space="preserve">The community needs adequate healthcare practitioners to match the needs of the sick, especially among elderly patients with fall issues. The clinics are as well short of critical diagnostic tools that are </w:t>
      </w:r>
      <w:r>
        <w:rPr>
          <w:rFonts w:ascii="Times New Roman" w:eastAsia="Times New Roman" w:hAnsi="Times New Roman" w:cs="Times New Roman"/>
          <w:color w:val="0E101A"/>
        </w:rPr>
        <w:lastRenderedPageBreak/>
        <w:t>capable of utilizing modern technology. This will enable the early identification of the clinical problems among the elderly and hence initiate quality care. Health literacy is the main barrier to quality healthcare services in the community. This happens because some parenting styles do not address the essential healthcare concern like sexually transmitted infections with the fear of violating the existing cultures (Altman, 2019).</w:t>
      </w:r>
    </w:p>
    <w:p w:rsidR="00840FC9" w:rsidRDefault="00840FC9" w:rsidP="00840FC9">
      <w:pPr>
        <w:spacing w:line="480" w:lineRule="auto"/>
        <w:ind w:firstLine="720"/>
        <w:rPr>
          <w:rFonts w:ascii="Times New Roman" w:eastAsia="Times New Roman" w:hAnsi="Times New Roman" w:cs="Times New Roman"/>
          <w:color w:val="0E101A"/>
        </w:rPr>
      </w:pPr>
      <w:r>
        <w:rPr>
          <w:rFonts w:ascii="Times New Roman" w:eastAsia="Times New Roman" w:hAnsi="Times New Roman" w:cs="Times New Roman"/>
          <w:color w:val="0E101A"/>
        </w:rPr>
        <w:t>The possible solutions to these barriers include incorporating modern technologies in the clinical industry, especially for elderly patients. For instance, with quality diagnosis procedures, the elderly will have organized care, strengthening the immunity for longer-quality lives. The community leaders need to direct financial resources on the healthcare industry to enable elderly patients to access quality care (Alshammari et al., 2018). More significantly, the community members need to take the necessary precautionary measures to avoid infections and gather compulsory education on ways of staying healthy lives. This includes the transformations of parenting styles to fit the anticipated standards in modern society.</w:t>
      </w:r>
    </w:p>
    <w:p w:rsidR="00840FC9" w:rsidRDefault="00840FC9" w:rsidP="00840FC9">
      <w:pPr>
        <w:spacing w:line="480" w:lineRule="auto"/>
        <w:jc w:val="center"/>
        <w:rPr>
          <w:rFonts w:ascii="Times New Roman" w:eastAsia="Times New Roman" w:hAnsi="Times New Roman" w:cs="Times New Roman"/>
          <w:b/>
          <w:color w:val="0E101A"/>
        </w:rPr>
      </w:pPr>
      <w:r>
        <w:rPr>
          <w:rFonts w:ascii="Times New Roman" w:eastAsia="Times New Roman" w:hAnsi="Times New Roman" w:cs="Times New Roman"/>
          <w:b/>
          <w:color w:val="0E101A"/>
        </w:rPr>
        <w:t>Conclusion</w:t>
      </w:r>
    </w:p>
    <w:p w:rsidR="00840FC9" w:rsidRDefault="00840FC9" w:rsidP="00840FC9">
      <w:pPr>
        <w:spacing w:line="480" w:lineRule="auto"/>
        <w:ind w:firstLine="720"/>
        <w:rPr>
          <w:rFonts w:ascii="Times New Roman" w:eastAsia="Times New Roman" w:hAnsi="Times New Roman" w:cs="Times New Roman"/>
          <w:color w:val="0E101A"/>
        </w:rPr>
      </w:pPr>
      <w:r>
        <w:rPr>
          <w:rFonts w:ascii="Times New Roman" w:eastAsia="Times New Roman" w:hAnsi="Times New Roman" w:cs="Times New Roman"/>
          <w:color w:val="0E101A"/>
        </w:rPr>
        <w:t>In summation, the community assessment is essential in helping nurses and other clinical workers to understand the community in which they offer medical assistance. With proper utilization of Gordon’s Healthcare functional patterns, one can undertake the necessary actions by responding to the identified weaknesses. In my community, the preparedness to address patient-fall issues among the elderly is not up to the anticipated standard, and this needs improvements (Alshammari et al., 2018). The community leaders need to ensure that there is safe drinking water, proper medical care, better utilization of modern technology in caring for the elderly, and promoting public education on health concerns for better lives.</w:t>
      </w:r>
    </w:p>
    <w:p w:rsidR="00840FC9" w:rsidRDefault="00840FC9" w:rsidP="00840FC9">
      <w:pPr>
        <w:spacing w:line="480" w:lineRule="auto"/>
        <w:rPr>
          <w:rFonts w:ascii="Times New Roman" w:eastAsia="Times New Roman" w:hAnsi="Times New Roman" w:cs="Times New Roman"/>
          <w:color w:val="0E101A"/>
        </w:rPr>
      </w:pPr>
    </w:p>
    <w:p w:rsidR="00840FC9" w:rsidRDefault="00840FC9" w:rsidP="00840FC9">
      <w:pPr>
        <w:spacing w:line="480" w:lineRule="auto"/>
        <w:rPr>
          <w:rFonts w:ascii="Times New Roman" w:eastAsia="Times New Roman" w:hAnsi="Times New Roman" w:cs="Times New Roman"/>
          <w:color w:val="0E101A"/>
        </w:rPr>
      </w:pPr>
    </w:p>
    <w:p w:rsidR="00840FC9" w:rsidRDefault="00840FC9" w:rsidP="00840FC9">
      <w:pPr>
        <w:spacing w:line="480" w:lineRule="auto"/>
        <w:rPr>
          <w:rFonts w:ascii="Times New Roman" w:eastAsia="Times New Roman" w:hAnsi="Times New Roman" w:cs="Times New Roman"/>
          <w:color w:val="0E101A"/>
        </w:rPr>
      </w:pPr>
      <w:bookmarkStart w:id="0" w:name="_GoBack"/>
      <w:bookmarkEnd w:id="0"/>
    </w:p>
    <w:p w:rsidR="00840FC9" w:rsidRDefault="00840FC9" w:rsidP="00840FC9">
      <w:pPr>
        <w:spacing w:line="480" w:lineRule="auto"/>
        <w:jc w:val="center"/>
        <w:rPr>
          <w:rFonts w:ascii="Times New Roman" w:eastAsia="Times New Roman" w:hAnsi="Times New Roman" w:cs="Times New Roman"/>
          <w:color w:val="0E101A"/>
        </w:rPr>
      </w:pPr>
      <w:r>
        <w:rPr>
          <w:rFonts w:ascii="Times New Roman" w:hAnsi="Times New Roman" w:cs="Times New Roman"/>
        </w:rPr>
        <w:lastRenderedPageBreak/>
        <w:t>References</w:t>
      </w:r>
    </w:p>
    <w:p w:rsidR="00840FC9" w:rsidRDefault="00840FC9" w:rsidP="00840FC9">
      <w:pPr>
        <w:spacing w:line="480" w:lineRule="auto"/>
        <w:ind w:left="720" w:hanging="720"/>
        <w:rPr>
          <w:rFonts w:ascii="Times New Roman" w:hAnsi="Times New Roman" w:cs="Times New Roman"/>
        </w:rPr>
      </w:pPr>
      <w:r>
        <w:rPr>
          <w:rFonts w:ascii="Times New Roman" w:hAnsi="Times New Roman" w:cs="Times New Roman"/>
          <w:color w:val="222222"/>
          <w:shd w:val="clear" w:color="auto" w:fill="FFFFFF"/>
        </w:rPr>
        <w:t>Alshammari, S. A., Alhassan, A. M., Aldawsari, M. A., Bazuhair, F. O., Alotaibi, F. K., Aldakhil, A. A., &amp;Abdulfattah, F. W. (2018). Falls among elderly and its relation with their health problems and surrounding environmental factors in Riyadh. </w:t>
      </w:r>
      <w:r>
        <w:rPr>
          <w:rFonts w:ascii="Times New Roman" w:hAnsi="Times New Roman" w:cs="Times New Roman"/>
          <w:i/>
          <w:iCs/>
          <w:color w:val="222222"/>
          <w:shd w:val="clear" w:color="auto" w:fill="FFFFFF"/>
        </w:rPr>
        <w:t>Journal of family &amp; community medicine</w:t>
      </w:r>
      <w:r>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25</w:t>
      </w:r>
      <w:r>
        <w:rPr>
          <w:rFonts w:ascii="Times New Roman" w:hAnsi="Times New Roman" w:cs="Times New Roman"/>
          <w:color w:val="222222"/>
          <w:shd w:val="clear" w:color="auto" w:fill="FFFFFF"/>
        </w:rPr>
        <w:t>(1), 29.</w:t>
      </w:r>
    </w:p>
    <w:p w:rsidR="00840FC9" w:rsidRDefault="00840FC9" w:rsidP="00840FC9">
      <w:pPr>
        <w:spacing w:line="480" w:lineRule="auto"/>
        <w:ind w:left="720" w:hanging="720"/>
        <w:rPr>
          <w:rFonts w:ascii="Times New Roman" w:hAnsi="Times New Roman" w:cs="Times New Roman"/>
        </w:rPr>
      </w:pPr>
      <w:r>
        <w:rPr>
          <w:rFonts w:ascii="Times New Roman" w:hAnsi="Times New Roman" w:cs="Times New Roman"/>
          <w:color w:val="222222"/>
          <w:shd w:val="clear" w:color="auto" w:fill="FFFFFF"/>
        </w:rPr>
        <w:t>Altman, D. G. (2019). Strategies for community health intervention: Promises, paradoxes, pitfalls. </w:t>
      </w:r>
      <w:r>
        <w:rPr>
          <w:rFonts w:ascii="Times New Roman" w:hAnsi="Times New Roman" w:cs="Times New Roman"/>
          <w:i/>
          <w:iCs/>
          <w:color w:val="222222"/>
          <w:shd w:val="clear" w:color="auto" w:fill="FFFFFF"/>
        </w:rPr>
        <w:t>Psychosomatic Medicine</w:t>
      </w:r>
      <w:r>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57</w:t>
      </w:r>
      <w:r>
        <w:rPr>
          <w:rFonts w:ascii="Times New Roman" w:hAnsi="Times New Roman" w:cs="Times New Roman"/>
          <w:color w:val="222222"/>
          <w:shd w:val="clear" w:color="auto" w:fill="FFFFFF"/>
        </w:rPr>
        <w:t>(3), 226-233.</w:t>
      </w:r>
    </w:p>
    <w:p w:rsidR="00840FC9" w:rsidRDefault="00840FC9" w:rsidP="00840FC9">
      <w:pPr>
        <w:spacing w:line="480" w:lineRule="auto"/>
        <w:ind w:left="720" w:hanging="720"/>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Harkness, G. A., &amp; DeMarco, R. F. (2016). </w:t>
      </w:r>
      <w:r>
        <w:rPr>
          <w:rFonts w:ascii="Times New Roman" w:hAnsi="Times New Roman" w:cs="Times New Roman"/>
          <w:i/>
          <w:iCs/>
          <w:color w:val="222222"/>
          <w:shd w:val="clear" w:color="auto" w:fill="FFFFFF"/>
        </w:rPr>
        <w:t>Community and public health nursing: Evidence for practice</w:t>
      </w:r>
      <w:r>
        <w:rPr>
          <w:rFonts w:ascii="Times New Roman" w:hAnsi="Times New Roman" w:cs="Times New Roman"/>
          <w:color w:val="222222"/>
          <w:shd w:val="clear" w:color="auto" w:fill="FFFFFF"/>
        </w:rPr>
        <w:t>. Wolters Kluwer.</w:t>
      </w:r>
    </w:p>
    <w:p w:rsidR="00840FC9" w:rsidRDefault="00840FC9" w:rsidP="00840FC9">
      <w:pPr>
        <w:spacing w:line="480" w:lineRule="auto"/>
        <w:ind w:left="720" w:hanging="720"/>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Karaca, T. (2016). Functional Health Patterns Model–A Case Study. </w:t>
      </w:r>
      <w:r>
        <w:rPr>
          <w:rFonts w:ascii="Times New Roman" w:hAnsi="Times New Roman" w:cs="Times New Roman"/>
          <w:i/>
          <w:iCs/>
          <w:color w:val="222222"/>
          <w:shd w:val="clear" w:color="auto" w:fill="FFFFFF"/>
        </w:rPr>
        <w:t>Case Studies Journal ISSN (2305-509X) Volume</w:t>
      </w:r>
      <w:r>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5</w:t>
      </w:r>
      <w:r>
        <w:rPr>
          <w:rFonts w:ascii="Times New Roman" w:hAnsi="Times New Roman" w:cs="Times New Roman"/>
          <w:color w:val="222222"/>
          <w:shd w:val="clear" w:color="auto" w:fill="FFFFFF"/>
        </w:rPr>
        <w:t>.</w:t>
      </w:r>
    </w:p>
    <w:p w:rsidR="00840FC9" w:rsidRPr="00840FC9" w:rsidRDefault="00840FC9" w:rsidP="00840FC9">
      <w:pPr>
        <w:pStyle w:val="NormalWeb"/>
        <w:spacing w:before="0" w:beforeAutospacing="0" w:after="0" w:afterAutospacing="0" w:line="480" w:lineRule="auto"/>
        <w:ind w:left="720" w:hanging="720"/>
        <w:rPr>
          <w:rStyle w:val="Strong"/>
          <w:b w:val="0"/>
        </w:rPr>
      </w:pPr>
    </w:p>
    <w:sectPr w:rsidR="00840FC9" w:rsidRPr="00840FC9" w:rsidSect="00537D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82E" w:rsidRDefault="0089482E" w:rsidP="00537D16">
      <w:pPr>
        <w:spacing w:after="0" w:line="240" w:lineRule="auto"/>
      </w:pPr>
      <w:r>
        <w:separator/>
      </w:r>
    </w:p>
  </w:endnote>
  <w:endnote w:type="continuationSeparator" w:id="0">
    <w:p w:rsidR="0089482E" w:rsidRDefault="0089482E" w:rsidP="00537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82E" w:rsidRDefault="0089482E" w:rsidP="00537D16">
      <w:pPr>
        <w:spacing w:after="0" w:line="240" w:lineRule="auto"/>
      </w:pPr>
      <w:r>
        <w:separator/>
      </w:r>
    </w:p>
  </w:footnote>
  <w:footnote w:type="continuationSeparator" w:id="0">
    <w:p w:rsidR="0089482E" w:rsidRDefault="0089482E" w:rsidP="00537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13266052"/>
      <w:docPartObj>
        <w:docPartGallery w:val="Page Numbers (Top of Page)"/>
        <w:docPartUnique/>
      </w:docPartObj>
    </w:sdtPr>
    <w:sdtEndPr>
      <w:rPr>
        <w:noProof/>
      </w:rPr>
    </w:sdtEndPr>
    <w:sdtContent>
      <w:p w:rsidR="00537D16" w:rsidRPr="00537D16" w:rsidRDefault="00537D16" w:rsidP="00537D16">
        <w:pPr>
          <w:pStyle w:val="Header"/>
          <w:rPr>
            <w:rFonts w:ascii="Times New Roman" w:hAnsi="Times New Roman" w:cs="Times New Roman"/>
            <w:sz w:val="24"/>
            <w:szCs w:val="24"/>
          </w:rPr>
        </w:pPr>
        <w:r w:rsidRPr="00537D16">
          <w:rPr>
            <w:rFonts w:ascii="Times New Roman" w:hAnsi="Times New Roman" w:cs="Times New Roman"/>
            <w:sz w:val="24"/>
            <w:szCs w:val="24"/>
          </w:rPr>
          <w:t>COMMUNITY STRATEGIC PLAN PART B; STRATEGIC PLAN</w:t>
        </w:r>
        <w:r>
          <w:rPr>
            <w:rFonts w:ascii="Times New Roman" w:hAnsi="Times New Roman" w:cs="Times New Roman"/>
            <w:sz w:val="24"/>
            <w:szCs w:val="24"/>
          </w:rPr>
          <w:tab/>
        </w:r>
        <w:r w:rsidRPr="00537D16">
          <w:rPr>
            <w:rFonts w:ascii="Times New Roman" w:hAnsi="Times New Roman" w:cs="Times New Roman"/>
            <w:sz w:val="24"/>
            <w:szCs w:val="24"/>
          </w:rPr>
          <w:fldChar w:fldCharType="begin"/>
        </w:r>
        <w:r w:rsidRPr="00537D16">
          <w:rPr>
            <w:rFonts w:ascii="Times New Roman" w:hAnsi="Times New Roman" w:cs="Times New Roman"/>
            <w:sz w:val="24"/>
            <w:szCs w:val="24"/>
          </w:rPr>
          <w:instrText xml:space="preserve"> PAGE   \* MERGEFORMAT </w:instrText>
        </w:r>
        <w:r w:rsidRPr="00537D16">
          <w:rPr>
            <w:rFonts w:ascii="Times New Roman" w:hAnsi="Times New Roman" w:cs="Times New Roman"/>
            <w:sz w:val="24"/>
            <w:szCs w:val="24"/>
          </w:rPr>
          <w:fldChar w:fldCharType="separate"/>
        </w:r>
        <w:r w:rsidR="00840FC9">
          <w:rPr>
            <w:rFonts w:ascii="Times New Roman" w:hAnsi="Times New Roman" w:cs="Times New Roman"/>
            <w:noProof/>
            <w:sz w:val="24"/>
            <w:szCs w:val="24"/>
          </w:rPr>
          <w:t>10</w:t>
        </w:r>
        <w:r w:rsidRPr="00537D16">
          <w:rPr>
            <w:rFonts w:ascii="Times New Roman" w:hAnsi="Times New Roman" w:cs="Times New Roman"/>
            <w:noProof/>
            <w:sz w:val="24"/>
            <w:szCs w:val="24"/>
          </w:rPr>
          <w:fldChar w:fldCharType="end"/>
        </w:r>
      </w:p>
    </w:sdtContent>
  </w:sdt>
  <w:p w:rsidR="00537D16" w:rsidRPr="00537D16" w:rsidRDefault="00537D1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D16" w:rsidRDefault="00537D16" w:rsidP="00537D16">
    <w:pPr>
      <w:rPr>
        <w:rFonts w:ascii="Times New Roman" w:hAnsi="Times New Roman" w:cs="Times New Roman"/>
        <w:sz w:val="24"/>
        <w:szCs w:val="24"/>
      </w:rPr>
    </w:pPr>
    <w:r>
      <w:rPr>
        <w:rFonts w:ascii="Times New Roman" w:hAnsi="Times New Roman" w:cs="Times New Roman"/>
        <w:sz w:val="24"/>
        <w:szCs w:val="24"/>
      </w:rPr>
      <w:t xml:space="preserve">Running head: COMMUNITY STRATEGIC PLAN PART B; STRATEGIC PLAN </w:t>
    </w:r>
    <w:r>
      <w:rPr>
        <w:rFonts w:ascii="Times New Roman" w:hAnsi="Times New Roman" w:cs="Times New Roman"/>
        <w:sz w:val="24"/>
        <w:szCs w:val="24"/>
      </w:rPr>
      <w:tab/>
      <w:t xml:space="preserve">      </w:t>
    </w:r>
    <w:sdt>
      <w:sdtPr>
        <w:rPr>
          <w:rFonts w:ascii="Times New Roman" w:hAnsi="Times New Roman" w:cs="Times New Roman"/>
          <w:noProof/>
          <w:sz w:val="24"/>
          <w:szCs w:val="24"/>
        </w:rPr>
        <w:id w:val="-2045518437"/>
        <w:docPartObj>
          <w:docPartGallery w:val="Page Numbers (Top of Page)"/>
          <w:docPartUnique/>
        </w:docPartObj>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840FC9">
          <w:rPr>
            <w:rFonts w:ascii="Times New Roman" w:hAnsi="Times New Roman" w:cs="Times New Roman"/>
            <w:noProof/>
            <w:sz w:val="24"/>
            <w:szCs w:val="24"/>
          </w:rPr>
          <w:t>1</w:t>
        </w:r>
        <w:r>
          <w:rPr>
            <w:rFonts w:ascii="Times New Roman" w:hAnsi="Times New Roman" w:cs="Times New Roman"/>
            <w:noProof/>
            <w:sz w:val="24"/>
            <w:szCs w:val="24"/>
          </w:rPr>
          <w:fldChar w:fldCharType="end"/>
        </w:r>
      </w:sdtContent>
    </w:sdt>
  </w:p>
  <w:p w:rsidR="00537D16" w:rsidRDefault="00537D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D16"/>
    <w:rsid w:val="00000313"/>
    <w:rsid w:val="000110B3"/>
    <w:rsid w:val="00043009"/>
    <w:rsid w:val="000A4FC0"/>
    <w:rsid w:val="000F69D0"/>
    <w:rsid w:val="00136AA4"/>
    <w:rsid w:val="00247C19"/>
    <w:rsid w:val="00247E83"/>
    <w:rsid w:val="003679B2"/>
    <w:rsid w:val="003D1E06"/>
    <w:rsid w:val="003D2BE3"/>
    <w:rsid w:val="00537D16"/>
    <w:rsid w:val="00545C3C"/>
    <w:rsid w:val="00675FD5"/>
    <w:rsid w:val="00692832"/>
    <w:rsid w:val="006B3DEF"/>
    <w:rsid w:val="006C4864"/>
    <w:rsid w:val="006D76BB"/>
    <w:rsid w:val="00840FC9"/>
    <w:rsid w:val="00852C46"/>
    <w:rsid w:val="0089482E"/>
    <w:rsid w:val="009C6ACE"/>
    <w:rsid w:val="009D1FC7"/>
    <w:rsid w:val="009F7171"/>
    <w:rsid w:val="00A3183E"/>
    <w:rsid w:val="00BA6EAE"/>
    <w:rsid w:val="00BB2B25"/>
    <w:rsid w:val="00BD47A7"/>
    <w:rsid w:val="00CB1748"/>
    <w:rsid w:val="00D42417"/>
    <w:rsid w:val="00D66B79"/>
    <w:rsid w:val="00DD7E44"/>
    <w:rsid w:val="00F41D29"/>
    <w:rsid w:val="00F54BEA"/>
    <w:rsid w:val="00F77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EC584"/>
  <w15:chartTrackingRefBased/>
  <w15:docId w15:val="{7198D4CB-A260-4718-88EB-3759C3AF6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D16"/>
  </w:style>
  <w:style w:type="paragraph" w:styleId="Footer">
    <w:name w:val="footer"/>
    <w:basedOn w:val="Normal"/>
    <w:link w:val="FooterChar"/>
    <w:uiPriority w:val="99"/>
    <w:unhideWhenUsed/>
    <w:rsid w:val="00537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D16"/>
  </w:style>
  <w:style w:type="paragraph" w:styleId="NormalWeb">
    <w:name w:val="Normal (Web)"/>
    <w:basedOn w:val="Normal"/>
    <w:uiPriority w:val="99"/>
    <w:unhideWhenUsed/>
    <w:rsid w:val="00537D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7D16"/>
    <w:rPr>
      <w:b/>
      <w:bCs/>
    </w:rPr>
  </w:style>
  <w:style w:type="character" w:styleId="Hyperlink">
    <w:name w:val="Hyperlink"/>
    <w:basedOn w:val="DefaultParagraphFont"/>
    <w:uiPriority w:val="99"/>
    <w:semiHidden/>
    <w:unhideWhenUsed/>
    <w:rsid w:val="00545C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863329">
      <w:bodyDiv w:val="1"/>
      <w:marLeft w:val="0"/>
      <w:marRight w:val="0"/>
      <w:marTop w:val="0"/>
      <w:marBottom w:val="0"/>
      <w:divBdr>
        <w:top w:val="none" w:sz="0" w:space="0" w:color="auto"/>
        <w:left w:val="none" w:sz="0" w:space="0" w:color="auto"/>
        <w:bottom w:val="none" w:sz="0" w:space="0" w:color="auto"/>
        <w:right w:val="none" w:sz="0" w:space="0" w:color="auto"/>
      </w:divBdr>
    </w:div>
    <w:div w:id="596641137">
      <w:bodyDiv w:val="1"/>
      <w:marLeft w:val="0"/>
      <w:marRight w:val="0"/>
      <w:marTop w:val="0"/>
      <w:marBottom w:val="0"/>
      <w:divBdr>
        <w:top w:val="none" w:sz="0" w:space="0" w:color="auto"/>
        <w:left w:val="none" w:sz="0" w:space="0" w:color="auto"/>
        <w:bottom w:val="none" w:sz="0" w:space="0" w:color="auto"/>
        <w:right w:val="none" w:sz="0" w:space="0" w:color="auto"/>
      </w:divBdr>
    </w:div>
    <w:div w:id="1031761619">
      <w:bodyDiv w:val="1"/>
      <w:marLeft w:val="0"/>
      <w:marRight w:val="0"/>
      <w:marTop w:val="0"/>
      <w:marBottom w:val="0"/>
      <w:divBdr>
        <w:top w:val="none" w:sz="0" w:space="0" w:color="auto"/>
        <w:left w:val="none" w:sz="0" w:space="0" w:color="auto"/>
        <w:bottom w:val="none" w:sz="0" w:space="0" w:color="auto"/>
        <w:right w:val="none" w:sz="0" w:space="0" w:color="auto"/>
      </w:divBdr>
    </w:div>
    <w:div w:id="1085998021">
      <w:bodyDiv w:val="1"/>
      <w:marLeft w:val="0"/>
      <w:marRight w:val="0"/>
      <w:marTop w:val="0"/>
      <w:marBottom w:val="0"/>
      <w:divBdr>
        <w:top w:val="none" w:sz="0" w:space="0" w:color="auto"/>
        <w:left w:val="none" w:sz="0" w:space="0" w:color="auto"/>
        <w:bottom w:val="none" w:sz="0" w:space="0" w:color="auto"/>
        <w:right w:val="none" w:sz="0" w:space="0" w:color="auto"/>
      </w:divBdr>
    </w:div>
    <w:div w:id="1567565736">
      <w:bodyDiv w:val="1"/>
      <w:marLeft w:val="0"/>
      <w:marRight w:val="0"/>
      <w:marTop w:val="0"/>
      <w:marBottom w:val="0"/>
      <w:divBdr>
        <w:top w:val="none" w:sz="0" w:space="0" w:color="auto"/>
        <w:left w:val="none" w:sz="0" w:space="0" w:color="auto"/>
        <w:bottom w:val="none" w:sz="0" w:space="0" w:color="auto"/>
        <w:right w:val="none" w:sz="0" w:space="0" w:color="auto"/>
      </w:divBdr>
    </w:div>
    <w:div w:id="168967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ho.int/news-room/fact-sheets/detail/fall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777</TotalTime>
  <Pages>11</Pages>
  <Words>2526</Words>
  <Characters>14404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2020-07-25T04:03:00Z</dcterms:created>
  <dcterms:modified xsi:type="dcterms:W3CDTF">2020-07-25T18:10:00Z</dcterms:modified>
</cp:coreProperties>
</file>